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94c2928dd2049d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43214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MINISTARSTVO TURIZMA I SPORTA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291.224.406,76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308.948.152,30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210.596.539,71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264.858.312,03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80.627.867,05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44.089.840,27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117.775,46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628.289,16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117.775,46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628.289,16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51.084.719,41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51.084.719,41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29.425.372,18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43.461.551,11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147,7</w:t>
            </w:r>
          </w:p>
        </w:tc>
      </w:tr>
    </w:tbl>
    <w:p>
      <w:pPr>
        <w:spacing w:before="0" w:after="0"/>
      </w:pPr>
    </w:p>
    <w:p>
      <w:r>
        <w:t xml:space="preserve">Ukupni prihodi poslovanjesu 65 viši nego u istom razdoblju 2024. godine, a ukupni rashodi su 26% viši nego u istom razdoblju 2024. godine, Ministarstvo je ostvarilo višak prihoda iz Državnog proračuna u iznosu od 29.425.372,18 EUR .  Višak prihoda je ostvaren zbog povećanih prihoda iz državnog proračuna .Preneseni višak prihoda  iznosi 33.608.965,66 EUR , a sastoji se od uplata koncesijskih naknada, uplata prihoda igara na sreću. prihoda .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291.224.406,76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308.948.152,30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bl>
    <w:p>
      <w:pPr>
        <w:spacing w:before="0" w:after="0"/>
      </w:pPr>
    </w:p>
    <w:p>
      <w:r>
        <w:t xml:space="preserve">Ukupni prihodi se sastoje od:                                               </w:t>
      </w:r>
    </w:p>
    <w:p>
      <w:r>
        <w:t xml:space="preserve">Konto 63 Pomoći iz inozemstva od subjekata unutar općeg                8.225 EUR  proračuna                                                                                                       </w:t>
      </w:r>
    </w:p>
    <w:p>
      <w:r>
        <w:t xml:space="preserve">Konto 64 Prihodi od imovine    1.830.247,91 EUR temeljem Zakona o turističkom i ostalom građevinskom zemljištu neprocijenjenom u postupku pretvorbe i privatizacije („Narodne novine“, broj 92/2010) do 31. prosinca 2024. godine je uplaćeno na ime koncesijskih naknada manje odnosu na isto razdoblje prošle godine iz razloga što je 19. ožujka 2020. godine stupila na snagu Uredba o dopuni Uredbe o postupku, načinu i uvjetima za dobivanje koncesije na turističkom zemljištu u kampovima u suvlasništvu Republike Hrvatske („Narodne novine“, broj 41/20) kojom su izmijenjena dospijeća stalne koncesijske naknade za 2020. godinu te promjenjivog dijela koncesijske naknade za 2019. godinu. Također je 4. travnja 2020. godine stupio je novi model izračuna promjenjivog dijela koncesijske naknade za 2019. godinu koji iznosi ukupno 1 kunu. U 2024. godini se prikupljaju prihodi za koncesijsku naknadu , temeljem novih  Uredbi o uređenju zakupa na turističkom zemljištu na kojemu su izgrađeni hoteli i turistička naselja i Uredbe o uređenju zakupa na dijelova kampa u vlasništvu Republike Hrvatske.  </w:t>
      </w:r>
    </w:p>
    <w:p>
      <w:r>
        <w:t xml:space="preserve">Konto 65 Prihodi od upravnih i administrativnih pristojbi, pristojbi  po posebnim propisima    65.975.757,59  EUR   To su prihodi koji se odnose na uplate propisane člankom 23. Zakona o turističkim zajednicama i promicanju hrvatskog turizma („Narodne novine“, broj 52/19 i 42/20), kojim je propisana obveza polaganja stručnog ispita za direktore turističkog ureda i radnike na stručnim poslovima na izvršenju zadaća turističke zajednice te temeljem Zakona o ugostiteljskoj djelatnosti („Narodne novine“, broj 85/15, 121/16, 99/18, 25/19, 98/19, 32/20, 42/20 i 126/21) temeljem kojeg  se naplaćuju usluge kategorizacije i rekategorizacije hotela i turističkih objekata i  kampova,  te na temelju Pravilnika o stručnom ispitu za voditelja poslova u turističkoj agenciji („Narodne novine“, broj 81/19) , te temeljem Uredbe o uređenju zakupa na turističkom zemljištu na kojem su izgrađeni hoteli i turistička naselja („Narodne novine“, broj 16/24)  i Uredbe o uređenju zakupa na dijelovima kampa u vlasništvu Republike Hrvatske („Narodne novine“, broj 16/24)</w:t>
      </w:r>
    </w:p>
    <w:p>
      <w:r>
        <w:t xml:space="preserve">Konto 67  Prihodi iz nadležnog proračuna za financiranje redovne  djelatnosti proračunskih korisnika     241.085.445,38  EUR  uplaćeni su u iznosu od  a odnose se na prihode za potrebe poslovanja koje su povećana radi povećanja broja zaposlenih te povećana plaćanja HOO,HPO, WCR, troškovima organiziranja EP u hrvanju, organizaciju Dana turizma za 2025. godinu, za utrku CRO RACE, za svjetsko prvenstvo u utrci s preprekama. </w:t>
      </w:r>
    </w:p>
    <w:p>
      <w:r>
        <w:t xml:space="preserve">      </w:t>
      </w:r>
    </w:p>
    <w:p>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državne uprave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24.079.676,43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8.494.736,09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w:t>
            </w:r>
          </w:p>
        </w:tc>
      </w:tr>
    </w:tbl>
    <w:p>
      <w:pPr>
        <w:spacing w:before="0" w:after="0"/>
      </w:pPr>
    </w:p>
    <w:p>
      <w:r>
        <w:t xml:space="preserve">1.   Prihodi su manji nego u istom razdoblju prošle godine. To su prihodi koji se odnose na uplate propisane člankom 23. Zakona o turističkim zajednicama i promicanju hrvatskog turizma („Narodne novine“, broj 52/19 i 42/20), kojim je propisana obveza polaganja stručnog ispita za direktore turističkog ureda i radnike na stručnim poslovima na izvršenju zadaća turističke zajednice te temeljem Zakona o ugostiteljskoj djelatnosti („Narodne novine“, broj 85/15, 121/16, 99/18, 25/19, 98/19, 32/20, 42/20 i 126/21) temeljem kojeg  se naplaćuju usluge kategorizacije i rekategorizacije hotela i turističkih objekata i  kampova,  te na temelju Pravilnika o stručnom ispitu za voditelja poslova u turističkoj agenciji („Narodne novine“, broj 81/19) , te temeljem Uredbe o uređenju zakupa na turističkom zemljištu na kojem su izgrađeni hoteli i turistička naselja („Narodne novine“, broj 16/24)  i Uredbe o uređenju zakupa na dijelovima kampa u vlasništvu Republike Hrvatske („Narodne novine“, broj 16/24)</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priređivanje igara na sreću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55.034.445,51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57.481.021,50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w:t>
            </w:r>
          </w:p>
        </w:tc>
      </w:tr>
    </w:tbl>
    <w:p>
      <w:pPr>
        <w:spacing w:before="0" w:after="0"/>
      </w:pPr>
    </w:p>
    <w:p>
      <w:r>
        <w:t xml:space="preserve">Na aktivnosti su osigurana sredstva za sufinanciranje Programa javnih potreba u sportu na državnoj razini koje provode krovna sportska udruženja: Hrvatski olimpijski odbor (HOO), Hrvatski paraolimpijski odbor (HPO), Hrvatski sportski savez gluhih (HSSG), Hrvatski akademski sportski savez (HASS) i Hrvatski školski sportski savez (HŠSS). Navedena krovna sportska udruženja sufinanciraju se iz izvora 11 i 41.   Sredstva se raspoređuju sukladno Uredbe o kriterijima za utvrđivanje korisnika i načinu raspodjele dijela prihoda od igara za sreću .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92.498.619,88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240.469.326,41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w:t>
            </w:r>
          </w:p>
        </w:tc>
      </w:tr>
    </w:tbl>
    <w:p>
      <w:pPr>
        <w:spacing w:before="0" w:after="0"/>
      </w:pPr>
    </w:p>
    <w:p>
      <w:r>
        <w:t xml:space="preserve">Uplaćeni prihodi se odnose se na prihode za potrebe poslovanja koje su povećana radi povećanja broja zaposlenih te povećana plaćanja HOO,HPO, WCR, troškovima organiziranja EP u hrvanju, organizaciju Dana turizma za 2025. godinu, za utrku CRO RACE, za svjetsko prvenstvo u utrci s preprekama.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117.775,46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616.118,97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523,1</w:t>
            </w:r>
          </w:p>
        </w:tc>
      </w:tr>
    </w:tbl>
    <w:p>
      <w:pPr>
        <w:spacing w:before="0" w:after="0"/>
      </w:pPr>
    </w:p>
    <w:p>
      <w:r>
        <w:t xml:space="preserve"> Prihodi se sastoje od prihoda za nabavku softwera za direknu prijavu kategoriziranih sportaša u iznosu od 441.000 eura , te za nabavku  SharePoint Server ALng LSA u iznosu od 101.035,00 eura.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7.075.774,77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8.076.599,29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bl>
    <w:p>
      <w:pPr>
        <w:spacing w:before="0" w:after="0"/>
      </w:pPr>
    </w:p>
    <w:p>
      <w:r>
        <w:t xml:space="preserve">Rashodi za plaće povećani su u odnosu na 2024. godinu  jer su se dizale osnovice za plaću temeljem Dodatka kolektivnom ugovoru za državne službenike i namještenike, i zaposleni su novi državni službenici i namještenici.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293.822,53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271.721,46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w:t>
            </w:r>
          </w:p>
        </w:tc>
      </w:tr>
    </w:tbl>
    <w:p>
      <w:pPr>
        <w:spacing w:before="0" w:after="0"/>
      </w:pPr>
    </w:p>
    <w:p>
      <w:r>
        <w:t xml:space="preserve">Odnose se na troškove službenog putovanja su smanjeni radi racionaliziranja broja odlaska na  službena putovanja te radi odlazaka vezanih uz kategorizaciju i rekategorizaciju hotela i kampova te odlazaka na službeni put radi posjete Turističkim sajmovima, sudjelovanja na Forumu te predstavljanja dobrovoljnog nacionalnog pregleda o provedbi ciljeva održivog razvoja , te sudjelovanja na  World Turizam Day.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99.686,93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136.241,76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w:t>
            </w:r>
          </w:p>
        </w:tc>
      </w:tr>
    </w:tbl>
    <w:p>
      <w:pPr>
        <w:spacing w:before="0" w:after="0"/>
      </w:pPr>
    </w:p>
    <w:p>
      <w:r>
        <w:t xml:space="preserve">Povećani  su u odnosu na 2024. godinu radi povećanje trošenja energenata na lokaciji Šubićeva, te za troškova motornog benzina.</w:t>
      </w:r>
    </w:p>
    <w:p>
      <w:r>
        <w:t xml:space="preserve">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377.308,90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457.106,84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bl>
    <w:p>
      <w:pPr>
        <w:spacing w:before="0" w:after="0"/>
      </w:pPr>
    </w:p>
    <w:p>
      <w:r>
        <w:t xml:space="preserve">Isplaćeni su 21,1% više nego u 2024. godini, a odnose se na najamnine tehničke opreme za organizaciju konferencija iz projekta INHERIT , plaćanje Microsoft licenci , te za plaćanje zakupnine za prostor u Šubićevoj.</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8.162,92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233,9</w:t>
            </w:r>
          </w:p>
        </w:tc>
      </w:tr>
    </w:tbl>
    <w:p>
      <w:pPr>
        <w:spacing w:before="0" w:after="0"/>
      </w:pPr>
    </w:p>
    <w:p>
      <w:r>
        <w:t xml:space="preserve">Rashodi su povećani zbog provođenja sistematskog pregleda za djelatnike Ministarstva.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699.209,23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832.260,60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bl>
    <w:p>
      <w:pPr>
        <w:spacing w:before="0" w:after="0"/>
      </w:pPr>
    </w:p>
    <w:p>
      <w:r>
        <w:t xml:space="preserve">Utrošene su na  angažiranje stručnjaka za projekte INHERIT, EUSAIR, za Evropski tjedan sporta, usluge prevođenja za interaktivne radionice,  te angažiranju stručnjaka za edukaciju djelatnika za aktivnosti koje se odnose na poslove za provođenje Nacionalnog fonda oporavka i otpornosti,  te za korištenje savjetodavnih usluga za u postupku dodjele bespovratnih sredstava iz EU, te za angažiranje stručnjaka za uslugu evaluacije dokumentacije za Eurovelo 6.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693.629,85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1.050.295,08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151,4</w:t>
            </w:r>
          </w:p>
        </w:tc>
      </w:tr>
    </w:tbl>
    <w:p>
      <w:pPr>
        <w:spacing w:before="0" w:after="0"/>
      </w:pPr>
    </w:p>
    <w:p>
      <w:r>
        <w:t xml:space="preserve"> Troškovi se odnose isključivo na održavanje postojećih aplikacija/programa, izvršene su u iznosu 51% više nego u 2024. godini. Navedeni rashodi  se odnose na nadogradnju postojećeg programa ISS te na izradu  aplikacije e-podnesak u turizmu, nadogradnju programa Registra sportskih djelatnosti, za izradu aplikacije za Hrvatski digitalni turizam e-turizam , te za usluge optimalizacije webGIS-a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226.333,37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272.373,21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w:t>
            </w:r>
          </w:p>
        </w:tc>
      </w:tr>
    </w:tbl>
    <w:p>
      <w:pPr>
        <w:spacing w:before="0" w:after="0"/>
      </w:pPr>
    </w:p>
    <w:p>
      <w:r>
        <w:t xml:space="preserve">rashodi se odnose  na usluge tiskanja raznih reklamnih materijala i brošura za potrebe konerencija , za usluge čišćenja, usluge čuvanja imovine.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35.712,29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38.828,50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w:t>
            </w:r>
          </w:p>
        </w:tc>
      </w:tr>
    </w:tbl>
    <w:p>
      <w:pPr>
        <w:spacing w:before="0" w:after="0"/>
      </w:pPr>
    </w:p>
    <w:p>
      <w:r>
        <w:t xml:space="preserve">Rashodi se  odnose na  troškove osoba koje su angažirane na poslovima ili projektima u organizaciji Ministarstva.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i zadrugama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572.146,37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348.177,27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60,9</w:t>
            </w:r>
          </w:p>
        </w:tc>
      </w:tr>
    </w:tbl>
    <w:p>
      <w:pPr>
        <w:spacing w:before="0" w:after="0"/>
      </w:pPr>
    </w:p>
    <w:p>
      <w:r>
        <w:t xml:space="preserve">Aktivnost se odnosi na mjere poticaja razvoja malog poduzetništva u turizmu, razvoja seoskog turizma u ruralnim i turistički nerazvijenim područjima Hrvatske, kao i za ujednačavanje standarda i podizanje kvalitete i dodatne ponude smještajnih objekata u kojima iznajmljivači pružaju ugostiteljske usluge u domaćinstvu. Potpora se dodjeljuje u vidu subvencije dijela kamatne stope u kreditima koji su bili odobravani prema uvjetima iz tri kreditna programa. Za cijelo vrijeme otplate kredita Ministarstvo bankama uplaćuje ugovorenu subvenciju. U izvršenju ove poticajne mjere pokazatelj rezultata je smanjenje broja kredita u otplati, što podrazumijeva da je korisnik ispunio svoju financijsku obvezu i realizirao ulaganje u turizmu.  </w:t>
      </w:r>
    </w:p>
    <w:p>
      <w:r>
        <w:t xml:space="preserve">Prema Programu poticanja razvoja malog i srednjeg poduzetništva u turizmu Poticaj za uspjeh banke su odobravele kredite u dva perioda 2002.-2005. i 2006.-2009. godine. Namjena ulaganja sredstava, bila je izgradnja i uređenje manjih smještajnih objekata s pratećim sadržajima, u kojima ugostiteljsku djelatnost obavljaju korisnici kredita i potpore. Ukupno je bilo odobreno 476 kredita, koji su u većem dijelu iskorišteni za male obiteljske hotele. Za 2025.godinu  od 158.055,96 eura.  </w:t>
      </w:r>
    </w:p>
    <w:p>
      <w:r>
        <w:t xml:space="preserve">Po programu kreditiranja Razvoj turizma na selu krediti su bili odobravani u periodu 2008. - 2011. godine, a bilo je ugovoreno ukupno 40 kredita. Za 2024. godinu ciljana vrijednost kredita u otplati bila je 15 kredita, ali zbog prijevremene otplate bilo je 14 aktivnih kredita za koje je uplaćena subvencija od 4.321,31 eura.  </w:t>
      </w:r>
    </w:p>
    <w:p>
      <w:r>
        <w:t xml:space="preserve">Izrada i provedba Programa dodjele bespovratnih sredstava male vrijednosti za podizanje konkurentnosti turističkog gospodarstva kroz zelenu i digitalnu tranziciju u turizmu. Program doprinosi  razvoju održivih turističkih proizvoda, poboljšanju procesa u ugostiteljskom poslovanju prihvatljivih za okoliš, razvoju inovativnih turističkih proizvoda, kružnom gospodarstvu i povećanju energetske učinkovitosti ugostiteljskih i turističkih proizvoda. </w:t>
      </w:r>
    </w:p>
    <w:p>
      <w:r>
        <w:t xml:space="preserve">Korisnici bespovratnih potpora temeljem programa Konkurentnost turističkog gospodarstva su subjekti malog gospodarstva (trgovačka društva izvan javnog sektora, obrti i zadruge) i OPG-obiteljska poljoprivredna gospodarstva koji su ili će biti po završetku ugovorenih aktivnosti registrirani za ugostiteljsku i/ili turističku djelatnost.  Ukupno je isplaćeno trgovačkim sruštvima iz ovog projekta 185.800 eura.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zadrugama, poljoprivrednicima i obrtnicima iz EU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52.163.310,33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50.587.791,24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w:t>
            </w:r>
          </w:p>
        </w:tc>
      </w:tr>
    </w:tbl>
    <w:p>
      <w:pPr>
        <w:spacing w:before="0" w:after="0"/>
      </w:pPr>
    </w:p>
    <w:p>
      <w:r>
        <w:t xml:space="preserve">Predmet Poziva u okviru Investicije I.2. „Jačanje održivosti te poticanje zelene i digitalne tranzicije poduzetnika u sektoru turizma“ (referentni broj: NPOO.C1.6.R1-I2.01), namijenjene privatnom sektoru, je poticanje ulaganja više dodane vrijednosti poduzetnika koja će doprinijeti razvoju održivog turizma uz pomoć zelene i digitalne tranzicije te poticanje oporavka i otpornosti poduzetnika u cijelom lancu vrijednosti turizma, a sa svrhom razvoja turističkih proizvoda prihvatljivih za okoliš i učinkovitost resursa posebice onih u turistički slabije razvijenim područjima putem povezivanja poduzetnika u lancu vrijednosti turizma, povećanje otpornosti i produktivnosti poduzeća, kao i bolje pozicioniranje na turističkom tržištu kroz uvođenje inovacija i digitalnih tehnologija, uključujući i transformaciju privatnih iznajmljivača u poduzetnike. Po provedenom postupku vrednovanja, u okviru poziva „Jačanje održivosti te poticanje zelene i digitalne tranzicije poduzetnika„ donesene su 63 odluke o financiranju dok su za 13 korisnika donesene Odluke o stavljanu van snage odluka o financiranju tako da su ukupno u izvještajnom razdoblju sklopljena 57 ugovora o dodjeli bespovratnih sredstava od kojih su 2 ugovora raskinuta. Ukupna alokacija za navedenu investiciju iznosi 165.903.510,52 eura, te je u 2025. godini ukupno isplaćeno 50.587.791,24 eura za 53 korisnika.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6.302.221,24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5.396.730,19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85,6</w:t>
            </w:r>
          </w:p>
        </w:tc>
      </w:tr>
    </w:tbl>
    <w:p>
      <w:pPr>
        <w:spacing w:before="0" w:after="0"/>
      </w:pPr>
    </w:p>
    <w:p>
      <w:r>
        <w:t xml:space="preserve">Ministarstvo sufinancira i troškove osiguranja dodatnih timova medicinske pomoći (turističke ambulante) u destinacijama koje bilježe znatni porast broja turista, a ne raspolažu jačim medicinskim ustanovama za kvalitetno pružanje medicinskih usluga turistima. Sredstva su dodjeljena županijama s najvećim udjelom broja turista u ukupnom broju turista tijekom četiri vršna mjeseca (lipanj-rujan) u prethodnoj godini u okviru planiranih sredstava. u 2025 godini je ukupno isplaćeno za timove prve pomoći 404.999 eura.</w:t>
      </w:r>
    </w:p>
    <w:p>
      <w:r>
        <w:t xml:space="preserve">Za potrebe Svjetskog rukometnog prvenstva koje je održano 2009. godine, građene su sportske dvorane po modelu javno-privatnog partnerstva. Sukladno zaključenim sporazumima najamninu/zakupninu sufinanciraju gradovi Zagreb i Varaždin te Vlada Republike Hrvatske u omjeru 50%:50%. Na aktivnosti su osigurana sredstva za zakupninu/najamninu koja sadržava osnovnu zakupninu s indeksacijom i operativne troškove. Ukupno je isplaćeno za održavanje arena u Zagrebu i Varaždinu 4.991.731,19 eura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14.451.883,97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20.524.822,57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w:t>
            </w:r>
          </w:p>
        </w:tc>
      </w:tr>
    </w:tbl>
    <w:p>
      <w:pPr>
        <w:spacing w:before="0" w:after="0"/>
      </w:pPr>
    </w:p>
    <w:p>
      <w:r>
        <w:t xml:space="preserve">Ministarstvo turizma i sporta raspisalo je Javni poziv za iskaz interesa za sufinanciranje izgradnje, obnove, održavanja, opremanja i rekonstrukcije sportskih građevina u 2024. godini na koji su jedinice lokalne i područne (regionalne) samouprave prijavile projekte za sportske građevine koje su u njihovom vlasništvu. Nakon postupka vrednovanja pristiglih prijava odabrano je 94 projekata za sufinanciranje. Prihvatljve aktivnosti na projektima bile su izvođenje građevinskih zahvata na postojećim/planiranim sportskim građevinama temeljem prethodno izrađene projektne dokumentacije te opremanje sportskih građevina istih, a čime će se podignuti razina javnih usluga kroz poboljšanje kvalitete življenja. u 2025. godini je isplaćeno ukupno 19.900.964,15 eura.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2.607.262,07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229.333,83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w:t>
            </w:r>
          </w:p>
        </w:tc>
      </w:tr>
    </w:tbl>
    <w:p>
      <w:pPr>
        <w:spacing w:before="0" w:after="0"/>
      </w:pPr>
    </w:p>
    <w:p>
      <w:r>
        <w:t xml:space="preserve">Ministarstvo je financiralo programe i projekte udruga namijenjene stručnom usavršavanju i cjeloživotnom obrazovanju u turizmu te one na temu pristupačnog turizma. Konačni pokazatelji sudionika projekata strukovnih udruga bit će na raspolaganju po završetku provedbe.. </w:t>
      </w:r>
    </w:p>
    <w:p>
      <w:r>
        <w:t xml:space="preserve">Kroz program „Promocija zanimanja“ Ministarstvo je financiralo 26 projekta srednjih strukovnih, umjetničkih i mješovitih škola za potrebe turizma i ukupno je isplaćeno  229.333,83 eura.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12.058.443,79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30.945.540,84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256,6</w:t>
            </w:r>
          </w:p>
        </w:tc>
      </w:tr>
    </w:tbl>
    <w:p>
      <w:pPr>
        <w:spacing w:before="0" w:after="0"/>
      </w:pPr>
    </w:p>
    <w:p>
      <w:r>
        <w:t xml:space="preserve">Investicija C1.6.R1-I1 Regionalna diverzifikacija i specijalizacija hrvatskog turizma </w:t>
      </w:r>
    </w:p>
    <w:p>
      <w:r>
        <w:t xml:space="preserve">Predmet Poziva u okviru Investicije I.1. „Regionalna diversifikacija i specijalizacija hrvatskog turizma kroz ulaganja u razvoj turističkih proizvoda visoke dodane vrijednosti“ (referentni broj: NPOO.C1.6.R1-I1.01), namijenjene javnom sektoru, je razvoj te zelena i digitalna tranzicija javne turističke infrastrukture u turistički slabije razvijenim područjima, koja će doprinijeti povećanju atraktivnosti destinacija za koje već postoji potražnja turista s potencijalom za razvoj posebnih oblika turizma, koji mogu generirati višu dodanu vrijednost. Ulaganja su usmjerena na prilagodbu, odnosno zelenu i digitalnu tranziciju postojeće javne turističke infrastrukture u područjima s najvišim indeksom turističke razvijenosti, s ciljem povećanja njezine kvalitete, smanjenja utjecaja na okoliš te održivog upravljanja destinacijom i smanjenja prekomjernog turizma. Također, dodatno su se poticala ulaganja u slabije razvijena turistička područja izvan glavnih turističkih i obalnih područja. U okviru poziva „Regionalna diversifikacija i specijalizacija hrvatskog turizma kroz ulaganja u razvoj turističkih proizvoda visoke dodane vrijednosti„ proveden je postupak vrednovanja pristiglih projektnih prijedloga te su sklopljeni Ugovori o dodjeli bespovratnih sredstava u ožujku i travnju 2024. godine sa sveukupno 25 korisnika. Ukupna alokacija za navedenu investiciju iznosi 123.432.211,82 eura, te je u izvještajnom razdoblju s navedene aktivnosti isplaćeno ukupno 2.126.932,09 eura za 16 korisnika. </w:t>
      </w:r>
    </w:p>
    <w:p>
      <w:r>
        <w:t xml:space="preserve">Također na ovoj stavci  okviru provedbe Nacionalnog plana oporavka i otpornosti 2021. – 2026., Ministarstvo je objavilo Javni poziv na dodjelu bespovratnih sredstava „Regionalna diversifikacija i specijalizacija hrvatskog turizma kroz ulaganja u razvoj turističkih proizvoda visoke dodane vrijednosti“, referentnog broja NPOO.C1.6.R1-I1.01. Budući da su kroz NPOO bila osigurana sredstva dostatna za financiranje 7 projekata javne turističke infrastrukture lječilišnog turizma, a ukupno 13 projekata je bilo prihvatljivo, osigurana su dodatna sredstva (60 mln EUR) kako bi se osigurala provedba svih projekata koji su zadovoljili uvjete prihvatljivosti iz javnog poziva. Za predmetnih 6 projekata, koji se financiraju sredstvima iz Državnog proračuna, Odluke o financiranju donesene su tijekom veljače i ožujka 2024. godine, a Ugovori o dodjeli bespovratnih sredstava su potpisani tijekom ožujka i travnja 2024. godine, a ukupno je u 2025. godini isplaćeno 2.126.932,09 eura.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464.508,61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okviru poziva „Regionalna diversifikacija i specijalizacija hrvatskog turizma kroz ulaganja u razvoj turističkih proizvoda visoke dodane vrijednosti isplaćeno je JU Park prirode Papuk i JU Park prirode Žumberak.</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12.875.155,49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14.581.154,70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113,3</w:t>
            </w:r>
          </w:p>
        </w:tc>
      </w:tr>
    </w:tbl>
    <w:p>
      <w:pPr>
        <w:spacing w:before="0" w:after="0"/>
      </w:pPr>
    </w:p>
    <w:p>
      <w:r>
        <w:t xml:space="preserve">Isplate su bile kroz Javni poziv poticanja obrazovanja u ugostiteljstvu i turizmu u 2025. godini „STIPENDIJE“ objavljen je u veljači 2025. godine temeljem kojeg je stipendirano 272 stipendista te je ukupno isplaćeno 1.239.660,75 eura, </w:t>
      </w:r>
    </w:p>
    <w:p>
      <w:r>
        <w:t xml:space="preserve">Isplaćuju se i državne nagrade za vrhunska sportska postignuća dodjeljuju se sportašima, sportskoj ekipi i drugim stručnjacima u sustavu sporta za osvojene zlatne, srebrne i brončane medalje na olimpijskim igrama, paraolimpijskim igrama i olimpijskim igrama gluhih, na svjetskim i europskim seniorskim prvenstvima u olimpijskim i paraolimpijskim sportovima i disciplinama te u olimpijskim sportovima i disciplinama za gluhe te su isplaćene u iznsu od 1.887.250 eura.    </w:t>
      </w:r>
    </w:p>
    <w:p>
      <w:r>
        <w:t xml:space="preserve"> Vrhunski kategorizirani sportaš može ostvariti pravo na nacionalnu sportsku stipendiju nakon što rješenje o kategorizaciji sportaša postane izvršno, i to na rok dok traje rješenje o kategorizaciji. O iznosu nacionalne sportske stipendije čelnik tijela državne uprave nadležnog za sport donosi odluku za svaku kalendarsku godinu. u 2025 godini je ukupno isplaćeno 6.697.515,12 eura.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93.117.909,48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118.394.175,97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w:t>
            </w:r>
          </w:p>
        </w:tc>
      </w:tr>
    </w:tbl>
    <w:p>
      <w:pPr>
        <w:spacing w:before="0" w:after="0"/>
      </w:pPr>
    </w:p>
    <w:p>
      <w:r>
        <w:t xml:space="preserve">Tekuće donacije u novcu isplaćene su temeljem javnih poziva Ministarstva te za promociju Republike Hrvatske u suradnji s  Hrvatskom turističkom zajednicom temeljem godišnjeg plana rada Hrvatske turističke zajednice, zatim za velike sportske manifestacije, isplatu sredstava krovnim sportskim udruženjima sukladno Uredbe o kriterijima za utvrđivanje korisnika i načinu raspodjele dijela prihoda od igara za sreću (KLASA  022-03/24-03/34, Urbroj: 50301-04/16-24-5 ) od  14. ožujka 2024. godine te za sufinanciranje sportskih programa poticanja lokalnog sporta i sportskih natjecanja, te temeljem javnog natječaja za sufinanciranje projekta udruga u turizmu u 2024. godini, za ulaganja u turističku infrastrukturu u funkciji razvoja posebnih oblika turizma, isplate za povećanje sigurnosti turista / HGSS, za financiranje world rallya , financiranje manifestaciej Cro race 2023, svjetsko prvenstvo u hrvanju.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265.240,34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1983,1</w:t>
            </w:r>
          </w:p>
        </w:tc>
      </w:tr>
    </w:tbl>
    <w:p>
      <w:pPr>
        <w:spacing w:before="0" w:after="0"/>
      </w:pPr>
    </w:p>
    <w:p>
      <w:r>
        <w:t xml:space="preserve">Sredstva su isplaćena u iznosu od 5.000.000 eura za Nogometni nacionalni kamp, te za projekat Sigurna i održiva planinarska infrastruktura uiznosu od 260.000 eura.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i zadrugama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2.031.600,00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w:t>
            </w:r>
          </w:p>
        </w:tc>
      </w:tr>
    </w:tbl>
    <w:p>
      <w:pPr>
        <w:spacing w:before="0" w:after="0"/>
      </w:pPr>
    </w:p>
    <w:p>
      <w:r>
        <w:t xml:space="preserve">Korisnici bespovratnih potpora temeljem programa Konkurentnost turističkog gospodarstva su subjekti malog gospodarstva (trgovačka društva izvan javnog sektora, obrti i zadruge) i OPG-obiteljska poljoprivredna gospodarstva koji su ili će biti po završetku ugovorenih aktivnosti registrirani za ugostiteljsku i/ili turističku djelatnost. Ukupno je isplaćeno  za 72 projekta.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poljoprivrednicima i obrtnicima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1.107.260,00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w:t>
            </w:r>
          </w:p>
        </w:tc>
      </w:tr>
    </w:tbl>
    <w:p>
      <w:pPr>
        <w:spacing w:before="0" w:after="0"/>
      </w:pPr>
    </w:p>
    <w:p>
      <w:r>
        <w:t xml:space="preserve">Korisnici bespovratnih potpora temeljem programa Konkurentnost turističkog gospodarstva su subjekti malog gospodarstva (trgovačka društva izvan javnog sektora, obrti i zadruge) i OPG-obiteljska poljoprivredna gospodarstva koji su ili će biti po završetku ugovorenih aktivnosti registrirani za ugostiteljsku i/ili turističku djelatnost. Ukupno je isplaćeno  za 55 projekta.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Licence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109.395,29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1496,0</w:t>
            </w:r>
          </w:p>
        </w:tc>
      </w:tr>
    </w:tbl>
    <w:p>
      <w:pPr>
        <w:spacing w:before="0" w:after="0"/>
      </w:pPr>
    </w:p>
    <w:p>
      <w:r>
        <w:t xml:space="preserve">Sredstva su isplaćena za nabavu licenci.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36.740,64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1200,3</w:t>
            </w:r>
          </w:p>
        </w:tc>
      </w:tr>
    </w:tbl>
    <w:p>
      <w:pPr>
        <w:spacing w:before="0" w:after="0"/>
      </w:pPr>
    </w:p>
    <w:p>
      <w:r>
        <w:t xml:space="preserve">Sredstva su isplaćena za nabavku posebnog modula za Nacionalni informacijski sustav, za direktnu prijavu sportaša.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1.722.502,68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1.993.690,18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w:t>
            </w:r>
          </w:p>
        </w:tc>
      </w:tr>
    </w:tbl>
    <w:p>
      <w:pPr>
        <w:spacing w:before="0" w:after="0"/>
      </w:pPr>
    </w:p>
    <w:p>
      <w:r>
        <w:t xml:space="preserve">stavka se sastoji od početnog stanja i ulaganje u dodatni modul ua Nacionalni informacijski sustav za samostalni unos sportaša za dodjelu stipendija.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1.273.035,60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37.321.795,31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2931,7</w:t>
            </w:r>
          </w:p>
        </w:tc>
      </w:tr>
    </w:tbl>
    <w:p>
      <w:pPr>
        <w:spacing w:before="0" w:after="0"/>
      </w:pPr>
    </w:p>
    <w:p>
      <w:r>
        <w:t xml:space="preserve"> Potraživanjea se odnose na potraživanja za avanse u okviru aktivnosti A587061 Ulaganja u turističku infrastrukturu u iznosu od 19.425.432,78 EUR,  dane avanse na aktivnosti A916035 Razvoj održivog, inovativnog i otpornog turizma NPOO u iznosu od 16.750.932,00 , te od potraživanja za jamčevine na aktivnosti K916058 program konkurentnosti i kohezija u iznosu od 885.312,00 eura    </w:t>
      </w:r>
      <w:r>
        <w:br/>
      </w:r>
      <w:r>
        <w:t xml:space="preserve"> </w:t>
      </w:r>
      <w:r>
        <w:br/>
      </w:r>
      <w:r>
        <w:t xml:space="preserve"> </w:t>
      </w:r>
      <w:r>
        <w:br/>
      </w:r>
      <w:r>
        <w:t xml:space="preserve"> </w:t>
      </w:r>
      <w:r>
        <w:br/>
      </w:r>
      <w:r>
        <w:t xml:space="preserve"> </w:t>
      </w:r>
      <w:r>
        <w:br/>
      </w:r>
      <w:r>
        <w:t xml:space="preserve"> </w:t>
      </w:r>
      <w:r>
        <w:br/>
      </w:r>
      <w:r>
        <w:br/>
      </w:r>
      <w:r>
        <w:t xml:space="preserve">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dane zajmove (šifre 13X1+13X2-139)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51.084.719,41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48.530.120,23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w:t>
            </w:r>
          </w:p>
        </w:tc>
      </w:tr>
    </w:tbl>
    <w:p>
      <w:pPr>
        <w:spacing w:before="0" w:after="0"/>
      </w:pPr>
    </w:p>
    <w:p>
      <w:r>
        <w:t xml:space="preserve">Potraživanja se odnose na potraživanja dana HBOR-u u studenom 2024. godine, od čega je isplaćeno korisnicima samo 2.554.599,18 eura </w:t>
      </w:r>
    </w:p>
    <w:p>
      <w:r>
        <w:t xml:space="preserve">Dani krediti:  </w:t>
      </w:r>
    </w:p>
    <w:p>
      <w:r>
        <w:t xml:space="preserve">IVKA D.O.O. Dubrovnik     1.651.039,92 €</w:t>
      </w:r>
    </w:p>
    <w:p>
      <w:r>
        <w:t xml:space="preserve">PRIMIZIA d.o.o,Brtonigla-Verteneglio 819.799,90 €</w:t>
      </w:r>
    </w:p>
    <w:p>
      <w:r>
        <w:t xml:space="preserve"> Igor Palčić iz Paga, vlasnik ugostiteljskog obrta "BELVEDER" Pag, 83.759,26 €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24.048.585,46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32.503.672,06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135,2</w:t>
            </w:r>
          </w:p>
        </w:tc>
      </w:tr>
    </w:tbl>
    <w:p>
      <w:pPr>
        <w:spacing w:before="0" w:after="0"/>
      </w:pPr>
    </w:p>
    <w:p>
      <w:r>
        <w:t xml:space="preserve"> sastoje se od prihoda državne uprave – kategorizacije, od prihoda za stručne ispite te od prihoda za potraživanja za naknadu za koncesije u rješavanju, te za potraživanja za zakup turističkog zemljišta.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15.065.791,52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14.466.432,82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w:t>
            </w:r>
          </w:p>
        </w:tc>
      </w:tr>
    </w:tbl>
    <w:p>
      <w:pPr>
        <w:spacing w:before="0" w:after="0"/>
      </w:pPr>
    </w:p>
    <w:p>
      <w:r>
        <w:t xml:space="preserve">Odnosi se za potraživanje za obračunate i naplaćene koncesije sukladno Zakonu o turističkom i ostalom građevinskom zemljištu neprocijenjenom u postupku pretvorbe i privatizacije („Narodne novine“, broj 92/2010) do 31. prosinca 2019. godine potraživanja u iznosu od 5.407.069,76,  od prihoda od igara na sreću izvor 41 u iznosu od 8.995.977,37, potraživanja za jamčevine prihode- javna nabava nastala od uplata za postupke javne nabave.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565.813,63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624.108,31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w:t>
            </w:r>
          </w:p>
        </w:tc>
      </w:tr>
    </w:tbl>
    <w:p>
      <w:pPr>
        <w:spacing w:before="0" w:after="0"/>
      </w:pPr>
    </w:p>
    <w:p>
      <w:r>
        <w:t xml:space="preserve">Ove obveze se odnose na plaću iz prosinca 2025. godine isplaćenu u siječnju 2026. godine.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1.167.053,25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dospijelih obveza na kraju izvještajnog razdoblja se odnosi na obveze korisnika za povrat :</w:t>
      </w:r>
    </w:p>
    <w:p>
      <w:pPr>
        <w:pStyle w:val="ListParagraph"/>
        <w:numPr>
          <w:ilvl w:val="0"/>
          <w:numId w:val="2"/>
        </w:numPr>
      </w:pPr>
      <w:r>
        <w:t xml:space="preserve">kamata u državni proračun u iznosu od 12.112,71 euro,  </w:t>
      </w:r>
    </w:p>
    <w:p>
      <w:pPr>
        <w:pStyle w:val="ListParagraph"/>
        <w:numPr>
          <w:ilvl w:val="0"/>
          <w:numId w:val="2"/>
        </w:numPr>
      </w:pPr>
      <w:r>
        <w:t xml:space="preserve">povrat kamata za dane a neiskorištene stipendije za deficitarna zanimanja u turizmu u iznosu od 2.555,72 eura</w:t>
      </w:r>
    </w:p>
    <w:p>
      <w:pPr>
        <w:pStyle w:val="ListParagraph"/>
        <w:numPr>
          <w:ilvl w:val="0"/>
          <w:numId w:val="2"/>
        </w:numPr>
      </w:pPr>
      <w:r>
        <w:t xml:space="preserve">povrat glavnica za dane stipendije za deficitarna zanimanja u turizmu u iznosu od 51.523,61 euro</w:t>
      </w:r>
    </w:p>
    <w:p>
      <w:pPr>
        <w:pStyle w:val="ListParagraph"/>
        <w:numPr>
          <w:ilvl w:val="0"/>
          <w:numId w:val="2"/>
        </w:numPr>
      </w:pPr>
      <w:r>
        <w:t xml:space="preserve">povrat dane školarine u iznosu od 1.040,55 eura</w:t>
      </w:r>
    </w:p>
    <w:p>
      <w:pPr>
        <w:pStyle w:val="ListParagraph"/>
        <w:numPr>
          <w:ilvl w:val="0"/>
          <w:numId w:val="2"/>
        </w:numPr>
      </w:pPr>
      <w:r>
        <w:t xml:space="preserve">povrate korisnika nenamjenski iskorištenih danih sredstava za poticaje u iznosu od 156.759,66 eura</w:t>
      </w:r>
    </w:p>
    <w:p>
      <w:pPr>
        <w:pStyle w:val="ListParagraph"/>
        <w:numPr>
          <w:ilvl w:val="0"/>
          <w:numId w:val="2"/>
        </w:numPr>
      </w:pPr>
      <w:r>
        <w:t xml:space="preserve">povrate za dane jamčevine u iznosu od 885.312,00 eura</w:t>
      </w:r>
    </w:p>
    <w:p>
      <w:pPr>
        <w:pStyle w:val="ListParagraph"/>
        <w:numPr>
          <w:ilvl w:val="0"/>
          <w:numId w:val="2"/>
        </w:numPr>
      </w:pPr>
      <w:r>
        <w:t xml:space="preserve">povrate u proračun HZZO-a u iznosu od 57.562,12</w:t>
      </w:r>
    </w:p>
    <w:p>
      <w:pPr>
        <w:pStyle w:val="ListParagraph"/>
        <w:numPr>
          <w:ilvl w:val="0"/>
          <w:numId w:val="2"/>
        </w:numPr>
      </w:pPr>
      <w:r>
        <w:t xml:space="preserve">povrate za dužnike upravnog spora 702,44 eura </w:t>
      </w:r>
    </w:p>
    <w:p/>
    <w:p>
      <w:pPr>
        <w:jc w:val="center"/>
        <w:pStyle w:val="Normal"/>
        <w:spacing w:line="240" w:lineRule="auto"/>
        <w:keepNext/>
      </w:pPr>
      <w:r>
        <w:rPr>
          <w:sz w:val="28"/>
          <w:rFonts w:ascii="Times New Roman" w:hAnsi="Times New Roman"/>
        </w:rPr>
        <w:t xml:space="preserve">Bilješka 37.</w:t>
      </w:r>
    </w:p>
    <w:p>
      <w:pPr>
        <w:jc w:val="both"/>
        <w:pStyle w:val="Normal"/>
        <w:spacing w:line="240" w:lineRule="auto"/>
      </w:pPr>
      <w:r>
        <w:rPr>
          <w:b/>
          <w:sz w:val="24"/>
          <w:rFonts w:ascii="Times New Roman" w:hAnsi="Times New Roman"/>
        </w:rPr>
        <w:t xml:space="preserve">EU izvještaj</w:t>
      </w:r>
    </w:p>
    <w:p>
      <w:r>
        <w:t xml:space="preserve">U okviru provedbe Nacionalnog plana oporavka i otpornosti 2021. – 2026., Ministarstvo je objavilo Javni poziv na dodjelu bespovratnih sredstava „Regionalna diversifikacija i specijalizacija hrvatskog turizma kroz ulaganja u razvoj turističkih proizvoda visoke dodane vrijednosti“, referentnog broja NPOO.C1.6.R1-I1.01. Budući da su kroz NPOO bila osigurana sredstva dostatna za financiranje 7 projekata javne turističke infrastrukture lječilišnog turizma, a ukupno 13 projekata je bilo prihvatljivo, osigurana su dodatna sredstva (60 mln EUR) kako bi se osigurala provedba svih projekata koji su zadovoljili uvjete prihvatljivosti iz javnog poziva. Za predmetnih 6 projekata, koji se financiraju sredstvima iz Državnog proračuna, Odluke o financiranju donesene su tijekom veljače i ožujka 2024. godine, a Ugovori o dodjeli bespovratnih sredstava su potpisani tijekom ožujka i travnja 2024. godine.  </w:t>
      </w:r>
    </w:p>
    <w:p>
      <w:r>
        <w:t xml:space="preserve">Investicija C1.6.R1-I1 Regionalna diverzifikacija i specijalizacija hrvatskog turizma </w:t>
      </w:r>
    </w:p>
    <w:p>
      <w:r>
        <w:t xml:space="preserve">Predmet Poziva u okviru Investicije I.1. „Regionalna diversifikacija i specijalizacija hrvatskog turizma kroz ulaganja u razvoj turističkih proizvoda visoke dodane vrijednosti“ (referentni broj: NPOO.C1.6.R1-I1.01), namijenjene javnom sektoru, je razvoj te zelena i digitalna tranzicija javne turističke infrastrukture u turistički slabije razvijenim područjima, koja će doprinijeti povećanju atraktivnosti destinacija za koje već postoji potražnja turista s potencijalom za razvoj posebnih oblika turizma, koji mogu generirati višu dodanu vrijednost,  te je u izvještajnom razdoblju s navedene aktivnosti isplaćeno ukupno 43.523.048,74 eura za 16 korisnika</w:t>
      </w:r>
    </w:p>
    <w:p>
      <w:r>
        <w:t xml:space="preserve">Investicija C1.6.R1-I2 Jačanje održivosti te poticanje zelene i digitalne tranzicije poduzetnika </w:t>
      </w:r>
    </w:p>
    <w:p>
      <w:r>
        <w:t xml:space="preserve">Predmet Poziva u okviru Investicije I.2. „Jačanje održivosti te poticanje zelene i digitalne tranzicije poduzetnika u sektoru turizma“ (referentni broj: NPOO.C1.6.R1-I2.01), namijenjene privatnom sektoru, je poticanje ulaganja više dodane vrijednosti poduzetnika koja će doprinijeti razvoju održivog turizma uz pomoć zelene i digitalne tranzicije te poticanje oporavka i otpornosti poduzetnika u cijelom lancu vrijednosti turizma, a sa svrhom razvoja turističkih proizvoda prihvatljivih za okoliš i učinkovitost resursa posebice onih u turistički slabije razvijenim područjima putem povezivanja poduzetnika u lancu vrijednosti turizma, povećanje otpornosti i produktivnosti poduzeća, kao i bolje pozicioniranje na turističkom tržištu kroz uvođenje inovacija i digitalnih tehnologija, uključujući i transformaciju privatnih iznajmljivača u poduzetnike. Po provedenom postupku vrednovanja, u okviru poziva „Jačanje održivosti te poticanje zelene i digitalne tranzicije poduzetnika„ donesene su 63 odluke o financiranju dok su za 13 korisnika donesene Odluke o stavljanu van snage odluka o financiranju tako da su ukupno u izvještajnom razdoblju sklopljena 57 ugovora o dodjeli bespovratnih sredstava od kojih su 2 ugovora raskinuta. Ukupna alokacija za navedenu investiciju iznosi 54.127.974,32 eura . </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7ae406536e604dd3" /><Relationship Type="http://schemas.openxmlformats.org/officeDocument/2006/relationships/numbering" Target="/word/numbering.xml" Id="R6804504702f1475a" /></Relationships>
</file>